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DD8E" w14:textId="1935202E" w:rsidR="003278ED" w:rsidRPr="00AA6268" w:rsidRDefault="002C5EF2" w:rsidP="003278ED">
      <w:pPr>
        <w:pStyle w:val="NoSpacing"/>
        <w:spacing w:line="276" w:lineRule="auto"/>
        <w:rPr>
          <w:rFonts w:ascii="Calibri" w:hAnsi="Calibri" w:cs="Calibri"/>
        </w:rPr>
      </w:pPr>
      <w:r>
        <w:rPr>
          <w:rFonts w:ascii="Calibri" w:hAnsi="Calibri" w:cs="Calibri"/>
        </w:rPr>
        <w:t>30 October 2026</w:t>
      </w:r>
    </w:p>
    <w:p w14:paraId="013F615D" w14:textId="13370761" w:rsidR="003278ED" w:rsidRPr="00AA6268" w:rsidRDefault="001D23A8" w:rsidP="003278ED">
      <w:pPr>
        <w:pStyle w:val="NoSpacing"/>
        <w:spacing w:line="276" w:lineRule="auto"/>
        <w:rPr>
          <w:rFonts w:ascii="Calibri" w:hAnsi="Calibri" w:cs="Calibri"/>
        </w:rPr>
      </w:pPr>
      <w:r>
        <w:rPr>
          <w:rFonts w:ascii="Calibri" w:hAnsi="Calibri" w:cs="Calibri"/>
        </w:rPr>
        <w:t>Centre for Sustainable Finance</w:t>
      </w:r>
    </w:p>
    <w:p w14:paraId="7786D8EA" w14:textId="650771A5" w:rsidR="003278ED" w:rsidRPr="00AA6268" w:rsidRDefault="003278ED" w:rsidP="003278ED">
      <w:pPr>
        <w:pStyle w:val="NoSpacing"/>
        <w:spacing w:line="276" w:lineRule="auto"/>
        <w:rPr>
          <w:rFonts w:ascii="Calibri" w:hAnsi="Calibri" w:cs="Calibri"/>
        </w:rPr>
      </w:pPr>
      <w:r w:rsidRPr="00AA6268">
        <w:rPr>
          <w:rFonts w:ascii="Calibri" w:hAnsi="Calibri" w:cs="Calibri"/>
        </w:rPr>
        <w:t xml:space="preserve">Via email: </w:t>
      </w:r>
      <w:hyperlink r:id="rId8" w:history="1">
        <w:r w:rsidR="00766564" w:rsidRPr="00766564">
          <w:rPr>
            <w:rStyle w:val="Hyperlink"/>
            <w:rFonts w:ascii="Calibri" w:hAnsi="Calibri" w:cs="Calibri"/>
          </w:rPr>
          <w:t>taxonomy@sustainablefinance.nz</w:t>
        </w:r>
      </w:hyperlink>
      <w:r w:rsidR="00766564">
        <w:t xml:space="preserve"> </w:t>
      </w:r>
    </w:p>
    <w:p w14:paraId="0B3C88B1" w14:textId="77777777" w:rsidR="003278ED" w:rsidRPr="00AA6268" w:rsidRDefault="003278ED" w:rsidP="003278ED">
      <w:pPr>
        <w:pStyle w:val="NoSpacing"/>
        <w:spacing w:line="276" w:lineRule="auto"/>
        <w:rPr>
          <w:rFonts w:ascii="Calibri" w:hAnsi="Calibri" w:cs="Calibri"/>
        </w:rPr>
      </w:pPr>
    </w:p>
    <w:p w14:paraId="44C0ED1F" w14:textId="38E63310" w:rsidR="003278ED" w:rsidRPr="003278ED" w:rsidRDefault="003278ED" w:rsidP="003278ED">
      <w:pPr>
        <w:spacing w:after="120" w:line="276" w:lineRule="auto"/>
        <w:rPr>
          <w:rFonts w:ascii="Calibri" w:hAnsi="Calibri" w:cs="Calibri"/>
          <w:b/>
          <w:bCs/>
        </w:rPr>
      </w:pPr>
      <w:r w:rsidRPr="74D7CC45">
        <w:rPr>
          <w:rFonts w:ascii="Calibri" w:hAnsi="Calibri" w:cs="Calibri"/>
          <w:b/>
          <w:bCs/>
        </w:rPr>
        <w:t xml:space="preserve">Re: </w:t>
      </w:r>
      <w:r w:rsidR="00C9366A" w:rsidRPr="00C9366A">
        <w:rPr>
          <w:rFonts w:ascii="Calibri" w:hAnsi="Calibri" w:cs="Calibri"/>
          <w:b/>
          <w:bCs/>
        </w:rPr>
        <w:t>Submission on the Aotearoa New Zealand Sustainable Finance Taxonomy (NZ Taxonomy): Construction and Buildings criteria</w:t>
      </w:r>
    </w:p>
    <w:p w14:paraId="38559B66" w14:textId="77777777" w:rsidR="003278ED" w:rsidRPr="00AA6268" w:rsidRDefault="003278ED" w:rsidP="003278ED">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AA6268">
        <w:rPr>
          <w:rFonts w:ascii="Calibri" w:eastAsia="Aptos" w:hAnsi="Calibri" w:cs="Calibri"/>
          <w:b/>
          <w:bCs/>
          <w:kern w:val="0"/>
          <w14:ligatures w14:val="none"/>
        </w:rPr>
        <w:t>Introduction</w:t>
      </w:r>
    </w:p>
    <w:p w14:paraId="4737696D" w14:textId="69FB6B2C" w:rsidR="003278ED" w:rsidRPr="00AA6268" w:rsidRDefault="003278ED" w:rsidP="003278ED">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C9366A">
        <w:rPr>
          <w:rFonts w:ascii="Calibri" w:eastAsia="Aptos" w:hAnsi="Calibri" w:cs="Calibri"/>
          <w:kern w:val="0"/>
          <w:highlight w:val="yellow"/>
          <w14:ligatures w14:val="none"/>
        </w:rPr>
        <w:t>[Insert business/organisation name]</w:t>
      </w:r>
      <w:r w:rsidRPr="00AA6268">
        <w:rPr>
          <w:rFonts w:ascii="Calibri" w:eastAsia="Aptos" w:hAnsi="Calibri" w:cs="Calibri"/>
          <w:kern w:val="0"/>
          <w14:ligatures w14:val="none"/>
        </w:rPr>
        <w:t xml:space="preserve"> </w:t>
      </w:r>
      <w:r w:rsidR="00791CF1" w:rsidRPr="00791CF1">
        <w:rPr>
          <w:rFonts w:ascii="Calibri" w:eastAsia="Aptos" w:hAnsi="Calibri" w:cs="Calibri"/>
          <w:kern w:val="0"/>
          <w14:ligatures w14:val="none"/>
        </w:rPr>
        <w:t>welcomes the opportunity to submit on the Aotearoa New Zealand Sustainable Finance Taxonomy (NZ Taxonomy): Construction and Buildings criteria (“the draft criteria”).</w:t>
      </w:r>
    </w:p>
    <w:p w14:paraId="3562A480" w14:textId="77777777" w:rsidR="004F3CED" w:rsidRDefault="003278ED" w:rsidP="004F3CED">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C9366A">
        <w:rPr>
          <w:rFonts w:ascii="Calibri" w:eastAsia="Aptos" w:hAnsi="Calibri" w:cs="Calibri"/>
          <w:kern w:val="0"/>
          <w:highlight w:val="yellow"/>
          <w14:ligatures w14:val="none"/>
        </w:rPr>
        <w:t>[</w:t>
      </w:r>
      <w:r w:rsidRPr="00AA6268">
        <w:rPr>
          <w:rFonts w:ascii="Calibri" w:eastAsia="Aptos" w:hAnsi="Calibri" w:cs="Calibri"/>
          <w:kern w:val="0"/>
          <w:highlight w:val="yellow"/>
          <w14:ligatures w14:val="none"/>
        </w:rPr>
        <w:t>Optional: Insert context about who/what your organisation i</w:t>
      </w:r>
      <w:r w:rsidRPr="00232CDD">
        <w:rPr>
          <w:rFonts w:ascii="Calibri" w:eastAsia="Aptos" w:hAnsi="Calibri" w:cs="Calibri"/>
          <w:kern w:val="0"/>
          <w:highlight w:val="yellow"/>
          <w14:ligatures w14:val="none"/>
        </w:rPr>
        <w:t>s]</w:t>
      </w:r>
    </w:p>
    <w:p w14:paraId="401AF7B1" w14:textId="0C3C2603" w:rsidR="007A45D4" w:rsidRPr="004F3CED" w:rsidRDefault="18F429A3" w:rsidP="007A45D4">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C9366A">
        <w:rPr>
          <w:rFonts w:ascii="Calibri" w:eastAsia="Aptos" w:hAnsi="Calibri" w:cs="Calibri"/>
          <w:kern w:val="0"/>
          <w:highlight w:val="yellow"/>
          <w14:ligatures w14:val="none"/>
        </w:rPr>
        <w:t>[</w:t>
      </w:r>
      <w:r w:rsidRPr="00AA6268">
        <w:rPr>
          <w:rFonts w:ascii="Calibri" w:eastAsia="Aptos" w:hAnsi="Calibri" w:cs="Calibri"/>
          <w:kern w:val="0"/>
          <w:highlight w:val="yellow"/>
          <w14:ligatures w14:val="none"/>
        </w:rPr>
        <w:t>Insert business/organisation name</w:t>
      </w:r>
      <w:r w:rsidRPr="00BC76FF">
        <w:rPr>
          <w:rFonts w:ascii="Calibri" w:eastAsia="Aptos" w:hAnsi="Calibri" w:cs="Calibri"/>
          <w:kern w:val="0"/>
          <w:highlight w:val="yellow"/>
          <w14:ligatures w14:val="none"/>
        </w:rPr>
        <w:t>]</w:t>
      </w:r>
      <w:r w:rsidRPr="00AA6268">
        <w:rPr>
          <w:rFonts w:ascii="Calibri" w:eastAsia="Aptos" w:hAnsi="Calibri" w:cs="Calibri"/>
          <w:kern w:val="0"/>
          <w14:ligatures w14:val="none"/>
        </w:rPr>
        <w:t xml:space="preserve"> </w:t>
      </w:r>
      <w:r w:rsidR="6FCDD02E" w:rsidRPr="004F3CED">
        <w:rPr>
          <w:rFonts w:ascii="Calibri" w:eastAsia="Aptos" w:hAnsi="Calibri" w:cs="Calibri"/>
          <w:kern w:val="0"/>
          <w14:ligatures w14:val="none"/>
        </w:rPr>
        <w:t xml:space="preserve">supports the intent of the Taxonomy to direct capital towards credible, climate-aligned activities. </w:t>
      </w:r>
      <w:r w:rsidR="6A707D0B" w:rsidRPr="007A45D4">
        <w:rPr>
          <w:rFonts w:ascii="Calibri" w:eastAsia="Aptos" w:hAnsi="Calibri" w:cs="Calibri"/>
          <w:kern w:val="0"/>
          <w14:ligatures w14:val="none"/>
        </w:rPr>
        <w:t xml:space="preserve">However, </w:t>
      </w:r>
      <w:r w:rsidR="2F8C2C26">
        <w:rPr>
          <w:rFonts w:ascii="Calibri" w:eastAsia="Aptos" w:hAnsi="Calibri" w:cs="Calibri"/>
          <w:kern w:val="0"/>
          <w14:ligatures w14:val="none"/>
        </w:rPr>
        <w:t>we have concerns</w:t>
      </w:r>
      <w:r w:rsidR="6A707D0B" w:rsidRPr="007A45D4">
        <w:rPr>
          <w:rFonts w:ascii="Calibri" w:eastAsia="Aptos" w:hAnsi="Calibri" w:cs="Calibri"/>
          <w:kern w:val="0"/>
          <w14:ligatures w14:val="none"/>
        </w:rPr>
        <w:t xml:space="preserve"> that the </w:t>
      </w:r>
      <w:r w:rsidR="2F8C2C26">
        <w:rPr>
          <w:rFonts w:ascii="Calibri" w:eastAsia="Aptos" w:hAnsi="Calibri" w:cs="Calibri"/>
          <w:kern w:val="0"/>
          <w14:ligatures w14:val="none"/>
        </w:rPr>
        <w:t>draft</w:t>
      </w:r>
      <w:r w:rsidR="6A707D0B" w:rsidRPr="007A45D4">
        <w:rPr>
          <w:rFonts w:ascii="Calibri" w:eastAsia="Aptos" w:hAnsi="Calibri" w:cs="Calibri"/>
          <w:kern w:val="0"/>
          <w14:ligatures w14:val="none"/>
        </w:rPr>
        <w:t xml:space="preserve"> criteria </w:t>
      </w:r>
      <w:proofErr w:type="gramStart"/>
      <w:r w:rsidR="2F8C2C26">
        <w:rPr>
          <w:rFonts w:ascii="Calibri" w:eastAsia="Aptos" w:hAnsi="Calibri" w:cs="Calibri"/>
          <w:kern w:val="0"/>
          <w14:ligatures w14:val="none"/>
        </w:rPr>
        <w:t>is</w:t>
      </w:r>
      <w:proofErr w:type="gramEnd"/>
      <w:r w:rsidR="6A707D0B" w:rsidRPr="007A45D4">
        <w:rPr>
          <w:rFonts w:ascii="Calibri" w:eastAsia="Aptos" w:hAnsi="Calibri" w:cs="Calibri"/>
          <w:kern w:val="0"/>
          <w14:ligatures w14:val="none"/>
        </w:rPr>
        <w:t xml:space="preserve"> </w:t>
      </w:r>
      <w:r w:rsidR="57D62739">
        <w:rPr>
          <w:rFonts w:ascii="Calibri" w:eastAsia="Aptos" w:hAnsi="Calibri" w:cs="Calibri"/>
          <w:kern w:val="0"/>
          <w14:ligatures w14:val="none"/>
        </w:rPr>
        <w:t xml:space="preserve">currently </w:t>
      </w:r>
      <w:r w:rsidR="6A707D0B" w:rsidRPr="007A45D4">
        <w:rPr>
          <w:rFonts w:ascii="Calibri" w:eastAsia="Aptos" w:hAnsi="Calibri" w:cs="Calibri"/>
          <w:kern w:val="0"/>
          <w14:ligatures w14:val="none"/>
        </w:rPr>
        <w:t>too technical and prescriptive, and need</w:t>
      </w:r>
      <w:r w:rsidR="74A027C2" w:rsidRPr="39650AF9">
        <w:rPr>
          <w:rFonts w:ascii="Calibri" w:eastAsia="Aptos" w:hAnsi="Calibri" w:cs="Calibri"/>
        </w:rPr>
        <w:t>s</w:t>
      </w:r>
      <w:r w:rsidR="6A707D0B" w:rsidRPr="39650AF9">
        <w:rPr>
          <w:rFonts w:ascii="Calibri" w:eastAsia="Aptos" w:hAnsi="Calibri" w:cs="Calibri"/>
        </w:rPr>
        <w:t xml:space="preserve"> to be simpler, more practical and better aligned with local market conditions to encourage voluntary uptake.</w:t>
      </w:r>
    </w:p>
    <w:p w14:paraId="324CF629" w14:textId="77777777" w:rsidR="003278ED" w:rsidRPr="00AA6268" w:rsidRDefault="003278ED" w:rsidP="003278ED">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AA6268">
        <w:rPr>
          <w:rFonts w:ascii="Calibri" w:eastAsia="Aptos" w:hAnsi="Calibri" w:cs="Calibri"/>
          <w:b/>
          <w:bCs/>
          <w:kern w:val="0"/>
          <w14:ligatures w14:val="none"/>
        </w:rPr>
        <w:t>Recommendations</w:t>
      </w:r>
    </w:p>
    <w:p w14:paraId="4D8C5D08" w14:textId="2C2CBE4A" w:rsidR="003278ED" w:rsidRPr="007305E9" w:rsidRDefault="00A472EF" w:rsidP="003278ED">
      <w:pPr>
        <w:pStyle w:val="ListParagraph"/>
        <w:numPr>
          <w:ilvl w:val="1"/>
          <w:numId w:val="1"/>
        </w:numPr>
        <w:spacing w:after="120" w:line="276" w:lineRule="auto"/>
        <w:ind w:left="567" w:hanging="567"/>
        <w:contextualSpacing w:val="0"/>
        <w:jc w:val="both"/>
        <w:rPr>
          <w:rFonts w:ascii="Calibri" w:eastAsia="Aptos" w:hAnsi="Calibri" w:cs="Calibri"/>
          <w:kern w:val="0"/>
          <w:highlight w:val="yellow"/>
          <w14:ligatures w14:val="none"/>
        </w:rPr>
      </w:pPr>
      <w:r w:rsidRPr="00C9366A">
        <w:rPr>
          <w:rFonts w:ascii="Calibri" w:eastAsia="Aptos" w:hAnsi="Calibri" w:cs="Calibri"/>
          <w:kern w:val="0"/>
          <w:highlight w:val="yellow"/>
          <w14:ligatures w14:val="none"/>
        </w:rPr>
        <w:t>[</w:t>
      </w:r>
      <w:r w:rsidRPr="00AA6268">
        <w:rPr>
          <w:rFonts w:ascii="Calibri" w:eastAsia="Aptos" w:hAnsi="Calibri" w:cs="Calibri"/>
          <w:kern w:val="0"/>
          <w:highlight w:val="yellow"/>
          <w14:ligatures w14:val="none"/>
        </w:rPr>
        <w:t>Insert business/organisation name</w:t>
      </w:r>
      <w:r w:rsidR="00BC76FF" w:rsidRPr="00BC76FF">
        <w:rPr>
          <w:rFonts w:ascii="Calibri" w:eastAsia="Aptos" w:hAnsi="Calibri" w:cs="Calibri"/>
          <w:kern w:val="0"/>
          <w:highlight w:val="yellow"/>
          <w14:ligatures w14:val="none"/>
        </w:rPr>
        <w:t>]</w:t>
      </w:r>
      <w:r w:rsidR="003278ED" w:rsidRPr="00AA6268">
        <w:rPr>
          <w:rFonts w:ascii="Calibri" w:eastAsia="Aptos" w:hAnsi="Calibri" w:cs="Calibri"/>
          <w:kern w:val="0"/>
          <w14:ligatures w14:val="none"/>
        </w:rPr>
        <w:t xml:space="preserve"> recommend</w:t>
      </w:r>
      <w:r>
        <w:rPr>
          <w:rFonts w:ascii="Calibri" w:eastAsia="Aptos" w:hAnsi="Calibri" w:cs="Calibri"/>
          <w:kern w:val="0"/>
          <w14:ligatures w14:val="none"/>
        </w:rPr>
        <w:t>s</w:t>
      </w:r>
      <w:r w:rsidR="003278ED" w:rsidRPr="00AA6268">
        <w:rPr>
          <w:rFonts w:ascii="Calibri" w:eastAsia="Aptos" w:hAnsi="Calibri" w:cs="Calibri"/>
          <w:kern w:val="0"/>
          <w14:ligatures w14:val="none"/>
        </w:rPr>
        <w:t xml:space="preserve"> </w:t>
      </w:r>
      <w:r w:rsidR="003278ED" w:rsidRPr="001C1DBC">
        <w:rPr>
          <w:rFonts w:ascii="Calibri" w:eastAsia="Aptos" w:hAnsi="Calibri" w:cs="Calibri"/>
          <w:kern w:val="0"/>
          <w14:ligatures w14:val="none"/>
        </w:rPr>
        <w:t xml:space="preserve">that </w:t>
      </w:r>
      <w:r w:rsidR="002D7456" w:rsidRPr="001C1DBC">
        <w:rPr>
          <w:rFonts w:ascii="Calibri" w:eastAsia="Aptos" w:hAnsi="Calibri" w:cs="Calibri"/>
          <w:kern w:val="0"/>
          <w14:ligatures w14:val="none"/>
        </w:rPr>
        <w:t xml:space="preserve">the draft criteria: </w:t>
      </w:r>
    </w:p>
    <w:p w14:paraId="1CD9E974" w14:textId="0202AA39" w:rsidR="003278ED" w:rsidRDefault="001216CE" w:rsidP="003278ED">
      <w:pPr>
        <w:pStyle w:val="ListParagraph"/>
        <w:numPr>
          <w:ilvl w:val="1"/>
          <w:numId w:val="3"/>
        </w:numPr>
        <w:spacing w:after="120" w:line="276" w:lineRule="auto"/>
        <w:ind w:left="993" w:hanging="426"/>
        <w:contextualSpacing w:val="0"/>
        <w:jc w:val="both"/>
        <w:rPr>
          <w:rFonts w:ascii="Calibri" w:eastAsia="Aptos" w:hAnsi="Calibri" w:cs="Calibri"/>
          <w:kern w:val="0"/>
          <w14:ligatures w14:val="none"/>
        </w:rPr>
      </w:pPr>
      <w:r>
        <w:rPr>
          <w:rFonts w:ascii="Calibri" w:hAnsi="Calibri" w:cs="Calibri"/>
        </w:rPr>
        <w:t>Is made</w:t>
      </w:r>
      <w:r w:rsidR="00250188" w:rsidRPr="00250188">
        <w:rPr>
          <w:rFonts w:ascii="Calibri" w:hAnsi="Calibri" w:cs="Calibri"/>
        </w:rPr>
        <w:t xml:space="preserve"> clearer, simpler and outcome-focused</w:t>
      </w:r>
      <w:r w:rsidR="003278ED" w:rsidRPr="00283FAC">
        <w:rPr>
          <w:rFonts w:ascii="Calibri" w:eastAsia="Aptos" w:hAnsi="Calibri" w:cs="Calibri"/>
          <w:kern w:val="0"/>
          <w14:ligatures w14:val="none"/>
        </w:rPr>
        <w:t>;</w:t>
      </w:r>
    </w:p>
    <w:p w14:paraId="77429F6A" w14:textId="7B04FF6F" w:rsidR="0002335A" w:rsidRDefault="003E5BEE" w:rsidP="003278ED">
      <w:pPr>
        <w:pStyle w:val="ListParagraph"/>
        <w:numPr>
          <w:ilvl w:val="1"/>
          <w:numId w:val="3"/>
        </w:numPr>
        <w:spacing w:after="120" w:line="276" w:lineRule="auto"/>
        <w:ind w:left="993" w:hanging="426"/>
        <w:contextualSpacing w:val="0"/>
        <w:jc w:val="both"/>
        <w:rPr>
          <w:rFonts w:ascii="Calibri" w:eastAsia="Aptos" w:hAnsi="Calibri" w:cs="Calibri"/>
          <w:kern w:val="0"/>
          <w14:ligatures w14:val="none"/>
        </w:rPr>
      </w:pPr>
      <w:r w:rsidRPr="003E5BEE">
        <w:rPr>
          <w:rFonts w:ascii="Calibri" w:eastAsia="Aptos" w:hAnsi="Calibri" w:cs="Calibri"/>
          <w:kern w:val="0"/>
          <w14:ligatures w14:val="none"/>
        </w:rPr>
        <w:t>Ensure thresholds reflect New Zealand market conditions</w:t>
      </w:r>
      <w:r w:rsidR="0002335A">
        <w:rPr>
          <w:rFonts w:ascii="Calibri" w:eastAsia="Aptos" w:hAnsi="Calibri" w:cs="Calibri"/>
          <w:kern w:val="0"/>
          <w14:ligatures w14:val="none"/>
        </w:rPr>
        <w:t>;</w:t>
      </w:r>
    </w:p>
    <w:p w14:paraId="320FA3E8" w14:textId="45E0839A" w:rsidR="0002335A" w:rsidRPr="00283FAC" w:rsidRDefault="003E5BEE" w:rsidP="003278ED">
      <w:pPr>
        <w:pStyle w:val="ListParagraph"/>
        <w:numPr>
          <w:ilvl w:val="1"/>
          <w:numId w:val="3"/>
        </w:numPr>
        <w:spacing w:after="120" w:line="276" w:lineRule="auto"/>
        <w:ind w:left="993" w:hanging="426"/>
        <w:contextualSpacing w:val="0"/>
        <w:jc w:val="both"/>
        <w:rPr>
          <w:rFonts w:ascii="Calibri" w:eastAsia="Aptos" w:hAnsi="Calibri" w:cs="Calibri"/>
          <w:kern w:val="0"/>
          <w14:ligatures w14:val="none"/>
        </w:rPr>
      </w:pPr>
      <w:r w:rsidRPr="003E5BEE">
        <w:rPr>
          <w:rFonts w:ascii="Calibri" w:eastAsia="Aptos" w:hAnsi="Calibri" w:cs="Calibri"/>
          <w:kern w:val="0"/>
          <w14:ligatures w14:val="none"/>
        </w:rPr>
        <w:t>Recognise the challenges of existing buildings and the transition pathway</w:t>
      </w:r>
      <w:r w:rsidR="0002335A">
        <w:rPr>
          <w:rFonts w:ascii="Calibri" w:eastAsia="Aptos" w:hAnsi="Calibri" w:cs="Calibri"/>
          <w:kern w:val="0"/>
          <w14:ligatures w14:val="none"/>
        </w:rPr>
        <w:t>;</w:t>
      </w:r>
    </w:p>
    <w:p w14:paraId="6EDDD00B" w14:textId="33D86BAB" w:rsidR="003278ED" w:rsidRPr="00283FAC" w:rsidRDefault="003E5BEE" w:rsidP="003278ED">
      <w:pPr>
        <w:pStyle w:val="ListParagraph"/>
        <w:numPr>
          <w:ilvl w:val="1"/>
          <w:numId w:val="3"/>
        </w:numPr>
        <w:spacing w:after="120" w:line="276" w:lineRule="auto"/>
        <w:ind w:left="993" w:hanging="426"/>
        <w:contextualSpacing w:val="0"/>
        <w:jc w:val="both"/>
        <w:rPr>
          <w:rFonts w:ascii="Calibri" w:eastAsia="Aptos" w:hAnsi="Calibri" w:cs="Calibri"/>
          <w:kern w:val="0"/>
          <w14:ligatures w14:val="none"/>
        </w:rPr>
      </w:pPr>
      <w:r w:rsidRPr="003E5BEE">
        <w:rPr>
          <w:rFonts w:ascii="Calibri" w:eastAsia="Aptos" w:hAnsi="Calibri" w:cs="Calibri"/>
          <w:kern w:val="0"/>
          <w14:ligatures w14:val="none"/>
        </w:rPr>
        <w:t>Make evidence and compliance requirements proportionate</w:t>
      </w:r>
      <w:r w:rsidR="003278ED" w:rsidRPr="00283FAC">
        <w:rPr>
          <w:rFonts w:ascii="Calibri" w:eastAsia="Aptos" w:hAnsi="Calibri" w:cs="Calibri"/>
          <w:kern w:val="0"/>
          <w14:ligatures w14:val="none"/>
        </w:rPr>
        <w:t>;</w:t>
      </w:r>
      <w:r w:rsidR="00861F07" w:rsidRPr="00283FAC">
        <w:rPr>
          <w:rFonts w:ascii="Calibri" w:eastAsia="Aptos" w:hAnsi="Calibri" w:cs="Calibri"/>
          <w:kern w:val="0"/>
          <w14:ligatures w14:val="none"/>
        </w:rPr>
        <w:t xml:space="preserve"> and</w:t>
      </w:r>
    </w:p>
    <w:p w14:paraId="76AF9C45" w14:textId="3DAB1674" w:rsidR="001C1DBC" w:rsidRPr="00777E03" w:rsidRDefault="003E5BEE" w:rsidP="001C1DBC">
      <w:pPr>
        <w:pStyle w:val="ListParagraph"/>
        <w:numPr>
          <w:ilvl w:val="1"/>
          <w:numId w:val="3"/>
        </w:numPr>
        <w:spacing w:after="120" w:line="276" w:lineRule="auto"/>
        <w:ind w:left="993" w:hanging="426"/>
        <w:contextualSpacing w:val="0"/>
        <w:jc w:val="both"/>
        <w:rPr>
          <w:rFonts w:ascii="Calibri" w:eastAsia="Aptos" w:hAnsi="Calibri" w:cs="Calibri"/>
          <w:kern w:val="0"/>
          <w14:ligatures w14:val="none"/>
        </w:rPr>
      </w:pPr>
      <w:r w:rsidRPr="003E5BEE">
        <w:rPr>
          <w:rFonts w:ascii="Calibri" w:eastAsia="Aptos" w:hAnsi="Calibri" w:cs="Calibri"/>
          <w:kern w:val="0"/>
          <w14:ligatures w14:val="none"/>
        </w:rPr>
        <w:t>Provide certainty for long-term property decisions</w:t>
      </w:r>
      <w:r w:rsidR="00777E03" w:rsidRPr="00777E03">
        <w:rPr>
          <w:rFonts w:ascii="Calibri" w:eastAsia="Aptos" w:hAnsi="Calibri" w:cs="Calibri"/>
          <w:kern w:val="0"/>
          <w14:ligatures w14:val="none"/>
        </w:rPr>
        <w:t>.</w:t>
      </w:r>
    </w:p>
    <w:p w14:paraId="09DA3858" w14:textId="48E5B15E" w:rsidR="00ED77B9" w:rsidRPr="00ED77B9" w:rsidRDefault="00810590" w:rsidP="00ED77B9">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810590">
        <w:rPr>
          <w:rFonts w:ascii="Calibri" w:eastAsia="Aptos" w:hAnsi="Calibri" w:cs="Calibri"/>
          <w:b/>
          <w:bCs/>
          <w:kern w:val="0"/>
          <w14:ligatures w14:val="none"/>
        </w:rPr>
        <w:t>Make the criteria clearer, simpler and outcome-focused</w:t>
      </w:r>
    </w:p>
    <w:p w14:paraId="5F72A252" w14:textId="77777777" w:rsidR="00ED77B9" w:rsidRDefault="00ED77B9" w:rsidP="00ED77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D77B9">
        <w:rPr>
          <w:rFonts w:ascii="Calibri" w:eastAsia="Aptos" w:hAnsi="Calibri" w:cs="Calibri"/>
          <w:kern w:val="0"/>
          <w14:ligatures w14:val="none"/>
        </w:rPr>
        <w:t>The draft criteria set technical requirements for buildings and construction activities to demonstrate alignment with the Taxonomy’s environmental objectives. These include performance thresholds, assessment methods and additional evidence requirements.</w:t>
      </w:r>
    </w:p>
    <w:p w14:paraId="4D703930" w14:textId="77777777" w:rsidR="00ED77B9" w:rsidRDefault="00ED77B9" w:rsidP="00ED77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D77B9">
        <w:rPr>
          <w:rFonts w:ascii="Calibri" w:eastAsia="Aptos" w:hAnsi="Calibri" w:cs="Calibri"/>
          <w:kern w:val="0"/>
          <w14:ligatures w14:val="none"/>
        </w:rPr>
        <w:t>Some requirements may be more prescriptive or complex than necessary to demonstrate the intended environmental outcomes. This could increase assessment costs and administrative burden, particularly where existing industry tools, certifications or established practices already provide relevant evidence.</w:t>
      </w:r>
    </w:p>
    <w:p w14:paraId="76F36F87" w14:textId="54E9890F" w:rsidR="00ED77B9" w:rsidRDefault="00ED77B9" w:rsidP="00ED77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D77B9">
        <w:rPr>
          <w:rFonts w:ascii="Calibri" w:eastAsia="Aptos" w:hAnsi="Calibri" w:cs="Calibri"/>
          <w:kern w:val="0"/>
          <w14:ligatures w14:val="none"/>
        </w:rPr>
        <w:t>The criteria should focus on measurable environmental outcomes and allow flexibility in how these are demonstrated. Established rating tools and certification schemes, including Green Star, should be recognised where they provide equivalent evidence of environmental performance. This would reduce duplicated assessments, costs and administrative burden.</w:t>
      </w:r>
    </w:p>
    <w:p w14:paraId="4AEC7450" w14:textId="3874E149" w:rsidR="00ED77B9" w:rsidRPr="00ED77B9" w:rsidRDefault="00ED77B9" w:rsidP="00ED77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D77B9">
        <w:rPr>
          <w:rFonts w:ascii="Calibri" w:eastAsia="Aptos" w:hAnsi="Calibri" w:cs="Calibri"/>
          <w:kern w:val="0"/>
          <w14:ligatures w14:val="none"/>
        </w:rPr>
        <w:t xml:space="preserve">Additional assessments and reporting should only be required where they provide meaningful evidence beyond what existing tools and processes already capture. </w:t>
      </w:r>
      <w:r w:rsidRPr="00ED77B9">
        <w:rPr>
          <w:rFonts w:ascii="Calibri" w:eastAsia="Aptos" w:hAnsi="Calibri" w:cs="Calibri"/>
          <w:kern w:val="0"/>
          <w14:ligatures w14:val="none"/>
        </w:rPr>
        <w:lastRenderedPageBreak/>
        <w:t>Requirements such as EV charging should respond to building type and intended use, rather than being mandatory for every building regardless of need or practicality.</w:t>
      </w:r>
    </w:p>
    <w:p w14:paraId="64B9E4B6" w14:textId="0F9E37A5" w:rsidR="002B3E31" w:rsidRPr="00777E03" w:rsidRDefault="00563581" w:rsidP="00211646">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563581">
        <w:rPr>
          <w:rFonts w:ascii="Calibri" w:eastAsia="Aptos" w:hAnsi="Calibri" w:cs="Calibri"/>
          <w:b/>
          <w:bCs/>
          <w:kern w:val="0"/>
          <w14:ligatures w14:val="none"/>
        </w:rPr>
        <w:t>Ensure thresholds reflect New Zealand market conditions</w:t>
      </w:r>
    </w:p>
    <w:p w14:paraId="65CE5451" w14:textId="77777777" w:rsidR="00EF3EB9" w:rsidRDefault="00C815FA" w:rsidP="00EF3E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C815FA">
        <w:rPr>
          <w:rFonts w:ascii="Calibri" w:eastAsia="Aptos" w:hAnsi="Calibri" w:cs="Calibri"/>
          <w:kern w:val="0"/>
          <w14:ligatures w14:val="none"/>
        </w:rPr>
        <w:t xml:space="preserve">The </w:t>
      </w:r>
      <w:r w:rsidR="00D97843">
        <w:rPr>
          <w:rFonts w:ascii="Calibri" w:eastAsia="Aptos" w:hAnsi="Calibri" w:cs="Calibri"/>
          <w:kern w:val="0"/>
          <w14:ligatures w14:val="none"/>
        </w:rPr>
        <w:t xml:space="preserve">draft </w:t>
      </w:r>
      <w:r w:rsidRPr="00C815FA">
        <w:rPr>
          <w:rFonts w:ascii="Calibri" w:eastAsia="Aptos" w:hAnsi="Calibri" w:cs="Calibri"/>
          <w:kern w:val="0"/>
          <w14:ligatures w14:val="none"/>
        </w:rPr>
        <w:t xml:space="preserve">criteria should take a clearer, more outcome-focused approach, concentrating on the environmental outcomes the Taxonomy is intended to support rather than prescribing requirements that may not be appropriate or achievable in every circumstance. Requirements should be proportionate to the scale and nature of the activity, recognising differences between building types, project sizes and locations. They should also reflect New Zealand’s market conditions, available data, infrastructure and industry readiness. </w:t>
      </w:r>
    </w:p>
    <w:p w14:paraId="1F177139" w14:textId="77777777" w:rsidR="00EF3EB9" w:rsidRDefault="00EF3EB9" w:rsidP="00EF3E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F3EB9">
        <w:rPr>
          <w:rFonts w:ascii="Calibri" w:eastAsia="Aptos" w:hAnsi="Calibri" w:cs="Calibri"/>
          <w:kern w:val="0"/>
          <w14:ligatures w14:val="none"/>
        </w:rPr>
        <w:t>The Taxonomy’s performance thresholds and technical requirements need to reflect New Zealand’s building stock, available data, infrastructure and industry readiness. While overseas benchmarks can provide a useful starting point, they should be tested against local conditions before being adopted. Requirements that are too ambitious or difficult to meet with currently available technologies and services could exclude otherwise credible activities and discourage uptake.</w:t>
      </w:r>
    </w:p>
    <w:p w14:paraId="4A4D4632" w14:textId="77777777" w:rsidR="00EF3EB9" w:rsidRDefault="00EF3EB9" w:rsidP="00EF3EB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F3EB9">
        <w:rPr>
          <w:rFonts w:ascii="Calibri" w:eastAsia="Aptos" w:hAnsi="Calibri" w:cs="Calibri"/>
          <w:kern w:val="0"/>
          <w14:ligatures w14:val="none"/>
        </w:rPr>
        <w:t>This is particularly important where the draft sets specific performance thresholds or technical requirements:</w:t>
      </w:r>
    </w:p>
    <w:p w14:paraId="2378878A" w14:textId="61F488DB" w:rsidR="005E7B27" w:rsidRDefault="00EF3EB9" w:rsidP="00EF3EB9">
      <w:pPr>
        <w:pStyle w:val="ListParagraph"/>
        <w:numPr>
          <w:ilvl w:val="1"/>
          <w:numId w:val="2"/>
        </w:numPr>
        <w:spacing w:after="120" w:line="276" w:lineRule="auto"/>
        <w:contextualSpacing w:val="0"/>
        <w:jc w:val="both"/>
        <w:rPr>
          <w:rFonts w:ascii="Calibri" w:eastAsia="Aptos" w:hAnsi="Calibri" w:cs="Calibri"/>
          <w:kern w:val="0"/>
          <w14:ligatures w14:val="none"/>
        </w:rPr>
      </w:pPr>
      <w:r w:rsidRPr="005E7B27">
        <w:rPr>
          <w:rFonts w:ascii="Calibri" w:eastAsia="Aptos" w:hAnsi="Calibri" w:cs="Calibri"/>
          <w:kern w:val="0"/>
          <w14:ligatures w14:val="none"/>
        </w:rPr>
        <w:t>Energy performance: The proposed 5.5-star NABERSNZ threshold for existing office buildings should initially be reduced to 5 stars, with a clear pathway to increase the threshold over time as building performance improves and the market develops</w:t>
      </w:r>
      <w:r w:rsidR="005E7B27">
        <w:rPr>
          <w:rFonts w:ascii="Calibri" w:eastAsia="Aptos" w:hAnsi="Calibri" w:cs="Calibri"/>
          <w:kern w:val="0"/>
          <w14:ligatures w14:val="none"/>
        </w:rPr>
        <w:t>.</w:t>
      </w:r>
    </w:p>
    <w:p w14:paraId="7F01C303" w14:textId="77777777" w:rsidR="005E7B27" w:rsidRDefault="00EF3EB9" w:rsidP="00EF3EB9">
      <w:pPr>
        <w:pStyle w:val="ListParagraph"/>
        <w:numPr>
          <w:ilvl w:val="1"/>
          <w:numId w:val="2"/>
        </w:numPr>
        <w:spacing w:after="120" w:line="276" w:lineRule="auto"/>
        <w:contextualSpacing w:val="0"/>
        <w:jc w:val="both"/>
        <w:rPr>
          <w:rFonts w:ascii="Calibri" w:eastAsia="Aptos" w:hAnsi="Calibri" w:cs="Calibri"/>
          <w:kern w:val="0"/>
          <w14:ligatures w14:val="none"/>
        </w:rPr>
      </w:pPr>
      <w:r w:rsidRPr="005E7B27">
        <w:rPr>
          <w:rFonts w:ascii="Calibri" w:eastAsia="Aptos" w:hAnsi="Calibri" w:cs="Calibri"/>
          <w:kern w:val="0"/>
          <w14:ligatures w14:val="none"/>
        </w:rPr>
        <w:t>Embodied carbon: Assessment requirements should be proportionate to project size and cost, with applicability thresholds informed by New Zealand data. Existing assessment processes should be recognised where they provide equivalent evidence.</w:t>
      </w:r>
    </w:p>
    <w:p w14:paraId="13C2043A" w14:textId="77777777" w:rsidR="005E7B27" w:rsidRDefault="00EF3EB9" w:rsidP="00EF3EB9">
      <w:pPr>
        <w:pStyle w:val="ListParagraph"/>
        <w:numPr>
          <w:ilvl w:val="1"/>
          <w:numId w:val="2"/>
        </w:numPr>
        <w:spacing w:after="120" w:line="276" w:lineRule="auto"/>
        <w:contextualSpacing w:val="0"/>
        <w:jc w:val="both"/>
        <w:rPr>
          <w:rFonts w:ascii="Calibri" w:eastAsia="Aptos" w:hAnsi="Calibri" w:cs="Calibri"/>
          <w:kern w:val="0"/>
          <w14:ligatures w14:val="none"/>
        </w:rPr>
      </w:pPr>
      <w:r w:rsidRPr="005E7B27">
        <w:rPr>
          <w:rFonts w:ascii="Calibri" w:eastAsia="Aptos" w:hAnsi="Calibri" w:cs="Calibri"/>
          <w:kern w:val="0"/>
          <w14:ligatures w14:val="none"/>
        </w:rPr>
        <w:t>Refrigerants: Limits should reflect the availability, cost, safety and practical suitability of lower-global-warming-potential alternatives in New Zealand. Fixed limits should not be introduced before suitable alternatives are commercially and technically viable.</w:t>
      </w:r>
    </w:p>
    <w:p w14:paraId="1A991F05" w14:textId="1F4A4A03" w:rsidR="005E7B27" w:rsidRDefault="00EF3EB9" w:rsidP="00EF3EB9">
      <w:pPr>
        <w:pStyle w:val="ListParagraph"/>
        <w:numPr>
          <w:ilvl w:val="1"/>
          <w:numId w:val="2"/>
        </w:numPr>
        <w:spacing w:after="120" w:line="276" w:lineRule="auto"/>
        <w:contextualSpacing w:val="0"/>
        <w:jc w:val="both"/>
        <w:rPr>
          <w:rFonts w:ascii="Calibri" w:eastAsia="Aptos" w:hAnsi="Calibri" w:cs="Calibri"/>
          <w:kern w:val="0"/>
          <w14:ligatures w14:val="none"/>
        </w:rPr>
      </w:pPr>
      <w:r w:rsidRPr="005E7B27">
        <w:rPr>
          <w:rFonts w:ascii="Calibri" w:eastAsia="Aptos" w:hAnsi="Calibri" w:cs="Calibri"/>
          <w:kern w:val="0"/>
          <w14:ligatures w14:val="none"/>
        </w:rPr>
        <w:t>Construction and demolition waste: Diversion requirements should reflect regional recovery infrastructure and capacity. Targets should not disadvantage projects in areas where suitable facilities are unavailable.</w:t>
      </w:r>
    </w:p>
    <w:p w14:paraId="0D51864C" w14:textId="5FFC8FEE" w:rsidR="007C619F" w:rsidRDefault="000868BC" w:rsidP="007D415B">
      <w:pPr>
        <w:pStyle w:val="ListParagraph"/>
        <w:numPr>
          <w:ilvl w:val="1"/>
          <w:numId w:val="2"/>
        </w:numPr>
        <w:spacing w:after="120" w:line="276" w:lineRule="auto"/>
        <w:jc w:val="both"/>
        <w:rPr>
          <w:rFonts w:ascii="Calibri" w:eastAsia="Aptos" w:hAnsi="Calibri" w:cs="Calibri"/>
          <w:kern w:val="0"/>
          <w14:ligatures w14:val="none"/>
        </w:rPr>
      </w:pPr>
      <w:r w:rsidRPr="0068302F">
        <w:rPr>
          <w:rFonts w:ascii="Calibri" w:eastAsia="Aptos" w:hAnsi="Calibri" w:cs="Calibri"/>
          <w:kern w:val="0"/>
          <w:highlight w:val="yellow"/>
          <w14:ligatures w14:val="none"/>
        </w:rPr>
        <w:t>[</w:t>
      </w:r>
      <w:r w:rsidR="007A1919">
        <w:rPr>
          <w:rFonts w:ascii="Calibri" w:eastAsia="Aptos" w:hAnsi="Calibri" w:cs="Calibri"/>
          <w:kern w:val="0"/>
          <w:highlight w:val="yellow"/>
          <w14:ligatures w14:val="none"/>
        </w:rPr>
        <w:t xml:space="preserve">These are only a few examples. </w:t>
      </w:r>
      <w:r w:rsidR="00F7587C" w:rsidRPr="00F7587C">
        <w:rPr>
          <w:rFonts w:ascii="Calibri" w:eastAsia="Aptos" w:hAnsi="Calibri" w:cs="Calibri"/>
          <w:kern w:val="0"/>
          <w:highlight w:val="yellow"/>
          <w14:ligatures w14:val="none"/>
        </w:rPr>
        <w:t>You can add any other examples of performance thresholds or technical requirements that may be impractical or inappropriate for your organisation, explaining why and suggesting changes to better reflect New Zealand market conditions</w:t>
      </w:r>
      <w:r w:rsidR="007C619F">
        <w:rPr>
          <w:rFonts w:ascii="Calibri" w:eastAsia="Aptos" w:hAnsi="Calibri" w:cs="Calibri"/>
          <w:kern w:val="0"/>
          <w:highlight w:val="yellow"/>
          <w14:ligatures w14:val="none"/>
        </w:rPr>
        <w:t>.</w:t>
      </w:r>
      <w:r w:rsidRPr="00A05AE0">
        <w:rPr>
          <w:rFonts w:ascii="Calibri" w:eastAsia="Aptos" w:hAnsi="Calibri" w:cs="Calibri"/>
          <w:kern w:val="0"/>
          <w:highlight w:val="yellow"/>
          <w14:ligatures w14:val="none"/>
        </w:rPr>
        <w:t>]</w:t>
      </w:r>
    </w:p>
    <w:p w14:paraId="1899FF05" w14:textId="77777777" w:rsidR="007D415B" w:rsidRPr="007D415B" w:rsidRDefault="007D415B" w:rsidP="007D415B">
      <w:pPr>
        <w:pStyle w:val="ListParagraph"/>
        <w:spacing w:after="120" w:line="276" w:lineRule="auto"/>
        <w:jc w:val="both"/>
        <w:rPr>
          <w:rFonts w:ascii="Calibri" w:eastAsia="Aptos" w:hAnsi="Calibri" w:cs="Calibri"/>
          <w:kern w:val="0"/>
          <w14:ligatures w14:val="none"/>
        </w:rPr>
      </w:pPr>
    </w:p>
    <w:p w14:paraId="7F47CF2A" w14:textId="1CCFE9C2" w:rsidR="005E7B27" w:rsidRDefault="005E7B27" w:rsidP="005E7B27">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5E7B27">
        <w:rPr>
          <w:rFonts w:ascii="Calibri" w:eastAsia="Aptos" w:hAnsi="Calibri" w:cs="Calibri"/>
          <w:kern w:val="0"/>
          <w14:ligatures w14:val="none"/>
        </w:rPr>
        <w:t xml:space="preserve">More </w:t>
      </w:r>
      <w:r w:rsidR="001B581D">
        <w:rPr>
          <w:rFonts w:ascii="Calibri" w:eastAsia="Aptos" w:hAnsi="Calibri" w:cs="Calibri"/>
          <w:kern w:val="0"/>
          <w14:ligatures w14:val="none"/>
        </w:rPr>
        <w:t>b</w:t>
      </w:r>
      <w:r w:rsidRPr="005E7B27">
        <w:rPr>
          <w:rFonts w:ascii="Calibri" w:eastAsia="Aptos" w:hAnsi="Calibri" w:cs="Calibri"/>
          <w:kern w:val="0"/>
          <w14:ligatures w14:val="none"/>
        </w:rPr>
        <w:t>roadly, thresholds should be evidence-based, proportionate to the scale and nature of the activity, and reviewed as the market develops. Where data or market readiness is limited, a staged approach should be adopted, with requirements strengthened over time as capability and infrastructure improve.</w:t>
      </w:r>
    </w:p>
    <w:p w14:paraId="492B5D30" w14:textId="09F977AA" w:rsidR="00F55730" w:rsidRPr="00777E03" w:rsidRDefault="00337BCA" w:rsidP="00777E03">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337BCA">
        <w:rPr>
          <w:rFonts w:ascii="Calibri" w:eastAsia="Aptos" w:hAnsi="Calibri" w:cs="Calibri"/>
          <w:b/>
          <w:bCs/>
          <w:kern w:val="0"/>
          <w14:ligatures w14:val="none"/>
        </w:rPr>
        <w:lastRenderedPageBreak/>
        <w:t>Recognise the challenges of existing buildings and the transition pathway</w:t>
      </w:r>
    </w:p>
    <w:p w14:paraId="73600782" w14:textId="7C5EB9C1" w:rsidR="009D2329" w:rsidRDefault="009D2329" w:rsidP="009D232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9D2329">
        <w:rPr>
          <w:rFonts w:ascii="Calibri" w:eastAsia="Aptos" w:hAnsi="Calibri" w:cs="Calibri"/>
          <w:kern w:val="0"/>
          <w14:ligatures w14:val="none"/>
        </w:rPr>
        <w:t xml:space="preserve">The draft criteria </w:t>
      </w:r>
      <w:r w:rsidR="001E76F8">
        <w:rPr>
          <w:rFonts w:ascii="Calibri" w:eastAsia="Aptos" w:hAnsi="Calibri" w:cs="Calibri"/>
          <w:kern w:val="0"/>
          <w14:ligatures w14:val="none"/>
        </w:rPr>
        <w:t>establish requirements</w:t>
      </w:r>
      <w:r w:rsidR="008543BC">
        <w:rPr>
          <w:rFonts w:ascii="Calibri" w:eastAsia="Aptos" w:hAnsi="Calibri" w:cs="Calibri"/>
          <w:kern w:val="0"/>
          <w14:ligatures w14:val="none"/>
        </w:rPr>
        <w:t xml:space="preserve"> </w:t>
      </w:r>
      <w:r w:rsidRPr="009D2329">
        <w:rPr>
          <w:rFonts w:ascii="Calibri" w:eastAsia="Aptos" w:hAnsi="Calibri" w:cs="Calibri"/>
          <w:kern w:val="0"/>
          <w14:ligatures w14:val="none"/>
        </w:rPr>
        <w:t>for both new developments and existing buildings, including energy performance requirements and measures intended to support emissions reductions.</w:t>
      </w:r>
    </w:p>
    <w:p w14:paraId="1B9F4EC5" w14:textId="77777777" w:rsidR="009D2329" w:rsidRDefault="009D2329" w:rsidP="009D232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9D2329">
        <w:rPr>
          <w:rFonts w:ascii="Calibri" w:eastAsia="Aptos" w:hAnsi="Calibri" w:cs="Calibri"/>
          <w:kern w:val="0"/>
          <w14:ligatures w14:val="none"/>
        </w:rPr>
        <w:t>Existing buildings face different constraints from new developments. Upgrades can involve significant cost, technical limitations, tenant disruption and dependencies on infrastructure or available technologies. Requirements that do not account for these differences could make it harder to improve existing buildings or access transition finance.</w:t>
      </w:r>
    </w:p>
    <w:p w14:paraId="6EBD8EBD" w14:textId="77777777" w:rsidR="009D2329" w:rsidRDefault="009D2329" w:rsidP="009D232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9D2329">
        <w:rPr>
          <w:rFonts w:ascii="Calibri" w:eastAsia="Aptos" w:hAnsi="Calibri" w:cs="Calibri"/>
          <w:kern w:val="0"/>
          <w14:ligatures w14:val="none"/>
        </w:rPr>
        <w:t>The criteria should distinguish between new and existing buildings where appropriate and provide credible, achievable pathways for improving performance over time.</w:t>
      </w:r>
    </w:p>
    <w:p w14:paraId="33F50ECD" w14:textId="77777777" w:rsidR="009D2329" w:rsidRDefault="009D2329" w:rsidP="009D232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9D2329">
        <w:rPr>
          <w:rFonts w:ascii="Calibri" w:eastAsia="Aptos" w:hAnsi="Calibri" w:cs="Calibri"/>
          <w:kern w:val="0"/>
          <w14:ligatures w14:val="none"/>
        </w:rPr>
        <w:t>The criteria should allow existing buildings to improve performance progressively, recognising equipment replacement cycles, tenant disruption, infrastructure constraints and the cost of major upgrades. They should also allow for building-specific and location-specific climate risk assessments, rather than relying on a prescriptive adaptation and resilience whitelist that may not reflect the risks facing every building or location.</w:t>
      </w:r>
    </w:p>
    <w:p w14:paraId="2895E8B9" w14:textId="2DBFB579" w:rsidR="009D2329" w:rsidRPr="00777E03" w:rsidRDefault="00365A7E" w:rsidP="009D2329">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365A7E">
        <w:rPr>
          <w:rFonts w:ascii="Calibri" w:eastAsia="Aptos" w:hAnsi="Calibri" w:cs="Calibri"/>
          <w:b/>
          <w:bCs/>
          <w:kern w:val="0"/>
          <w14:ligatures w14:val="none"/>
        </w:rPr>
        <w:t>Make evidence and compliance requirements proportionate</w:t>
      </w:r>
    </w:p>
    <w:p w14:paraId="0821B24C" w14:textId="73E98E4A" w:rsidR="00E153C9" w:rsidRDefault="00E153C9" w:rsidP="00E153C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153C9">
        <w:rPr>
          <w:rFonts w:ascii="Calibri" w:eastAsia="Aptos" w:hAnsi="Calibri" w:cs="Calibri"/>
          <w:kern w:val="0"/>
          <w14:ligatures w14:val="none"/>
        </w:rPr>
        <w:t xml:space="preserve">The draft </w:t>
      </w:r>
      <w:r w:rsidR="00751699">
        <w:rPr>
          <w:rFonts w:ascii="Calibri" w:eastAsia="Aptos" w:hAnsi="Calibri" w:cs="Calibri"/>
          <w:kern w:val="0"/>
          <w14:ligatures w14:val="none"/>
        </w:rPr>
        <w:t xml:space="preserve">criteria </w:t>
      </w:r>
      <w:r w:rsidR="00535C51" w:rsidRPr="00E153C9">
        <w:rPr>
          <w:rFonts w:ascii="Calibri" w:eastAsia="Aptos" w:hAnsi="Calibri" w:cs="Calibri"/>
          <w:kern w:val="0"/>
          <w14:ligatures w14:val="none"/>
        </w:rPr>
        <w:t>include</w:t>
      </w:r>
      <w:r w:rsidRPr="00E153C9">
        <w:rPr>
          <w:rFonts w:ascii="Calibri" w:eastAsia="Aptos" w:hAnsi="Calibri" w:cs="Calibri"/>
          <w:kern w:val="0"/>
          <w14:ligatures w14:val="none"/>
        </w:rPr>
        <w:t xml:space="preserve"> technical, reporting, verification and environmental safeguards covering areas such as embodied carbon, refrigerants, construction and demolition waste, and material sourcing</w:t>
      </w:r>
      <w:r>
        <w:rPr>
          <w:rFonts w:ascii="Calibri" w:eastAsia="Aptos" w:hAnsi="Calibri" w:cs="Calibri"/>
          <w:kern w:val="0"/>
          <w14:ligatures w14:val="none"/>
        </w:rPr>
        <w:t>.</w:t>
      </w:r>
    </w:p>
    <w:p w14:paraId="13829947" w14:textId="77777777" w:rsidR="00E153C9" w:rsidRDefault="00E153C9" w:rsidP="00E153C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153C9">
        <w:rPr>
          <w:rFonts w:ascii="Calibri" w:eastAsia="Aptos" w:hAnsi="Calibri" w:cs="Calibri"/>
          <w:kern w:val="0"/>
          <w14:ligatures w14:val="none"/>
        </w:rPr>
        <w:t>The cost and availability of information, verification and supporting infrastructure vary across projects and regions. Applying the same level of detail or compliance burden to every activity may be disproportionate, particularly for smaller projects or where reliable data and practical alternatives are not yet readily available.</w:t>
      </w:r>
    </w:p>
    <w:p w14:paraId="45F1D5AE" w14:textId="77777777" w:rsidR="00E153C9" w:rsidRDefault="00E153C9" w:rsidP="00E153C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153C9">
        <w:rPr>
          <w:rFonts w:ascii="Calibri" w:eastAsia="Aptos" w:hAnsi="Calibri" w:cs="Calibri"/>
          <w:kern w:val="0"/>
          <w14:ligatures w14:val="none"/>
        </w:rPr>
        <w:t>Requirements should be proportionate to the scale and impact of the activity, the quality of available evidence and the maturity of the market. The criteria should recognise equivalent evidence and existing processes where appropriate.</w:t>
      </w:r>
    </w:p>
    <w:p w14:paraId="7188908D" w14:textId="3D40FBAE" w:rsidR="00E153C9" w:rsidRPr="00E153C9" w:rsidRDefault="00E153C9" w:rsidP="00E153C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E153C9">
        <w:rPr>
          <w:rFonts w:ascii="Calibri" w:eastAsia="Aptos" w:hAnsi="Calibri" w:cs="Calibri"/>
          <w:kern w:val="0"/>
          <w14:ligatures w14:val="none"/>
        </w:rPr>
        <w:t>Clear and consistent guidance should specify acceptable evidence, assessment methods and verification requirements. Existing evidence should be accepted where it demonstrates equivalent outcomes, avoiding unnecessary assessment costs.</w:t>
      </w:r>
    </w:p>
    <w:p w14:paraId="05DCE183" w14:textId="655FB66C" w:rsidR="009D2329" w:rsidRPr="00777E03" w:rsidRDefault="00B17269" w:rsidP="009D2329">
      <w:pPr>
        <w:pStyle w:val="ListParagraph"/>
        <w:numPr>
          <w:ilvl w:val="0"/>
          <w:numId w:val="1"/>
        </w:numPr>
        <w:spacing w:after="120" w:line="276" w:lineRule="auto"/>
        <w:ind w:left="567" w:hanging="567"/>
        <w:contextualSpacing w:val="0"/>
        <w:jc w:val="both"/>
        <w:rPr>
          <w:rFonts w:ascii="Calibri" w:eastAsia="Aptos" w:hAnsi="Calibri" w:cs="Calibri"/>
          <w:b/>
          <w:bCs/>
          <w:kern w:val="0"/>
          <w14:ligatures w14:val="none"/>
        </w:rPr>
      </w:pPr>
      <w:r w:rsidRPr="00B17269">
        <w:rPr>
          <w:rFonts w:ascii="Calibri" w:eastAsia="Aptos" w:hAnsi="Calibri" w:cs="Calibri"/>
          <w:b/>
          <w:bCs/>
          <w:kern w:val="0"/>
          <w14:ligatures w14:val="none"/>
        </w:rPr>
        <w:t>Provide certainty for long-term property decisions</w:t>
      </w:r>
    </w:p>
    <w:p w14:paraId="79B11E2A" w14:textId="77777777" w:rsidR="00B17269" w:rsidRDefault="00B17269" w:rsidP="00B1726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B17269">
        <w:rPr>
          <w:rFonts w:ascii="Calibri" w:eastAsia="Aptos" w:hAnsi="Calibri" w:cs="Calibri"/>
          <w:kern w:val="0"/>
          <w14:ligatures w14:val="none"/>
        </w:rPr>
        <w:t>Property development, investment and financing decisions often span several years. Uncertainty about which criteria apply, when requirements take effect or how changes will affect projects already underway could create additional costs and make investment decisions more difficult.</w:t>
      </w:r>
    </w:p>
    <w:p w14:paraId="2046F434" w14:textId="77777777" w:rsidR="00B17269" w:rsidRDefault="00B17269" w:rsidP="00B17269">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B17269">
        <w:rPr>
          <w:rFonts w:ascii="Calibri" w:eastAsia="Aptos" w:hAnsi="Calibri" w:cs="Calibri"/>
          <w:kern w:val="0"/>
          <w14:ligatures w14:val="none"/>
        </w:rPr>
        <w:t xml:space="preserve">The final Taxonomy should clearly define which version of the criteria applies and the date at which compliance is assessed. Transitional arrangements should recognise </w:t>
      </w:r>
      <w:r w:rsidRPr="00B17269">
        <w:rPr>
          <w:rFonts w:ascii="Calibri" w:eastAsia="Aptos" w:hAnsi="Calibri" w:cs="Calibri"/>
          <w:kern w:val="0"/>
          <w14:ligatures w14:val="none"/>
        </w:rPr>
        <w:lastRenderedPageBreak/>
        <w:t>projects that have already made significant investment, financing, procurement or consent decisions in reliance on the applicable criteria.</w:t>
      </w:r>
    </w:p>
    <w:p w14:paraId="13D0E483" w14:textId="664B99B8" w:rsidR="009D2329" w:rsidRPr="005039AE" w:rsidRDefault="00B17269" w:rsidP="005039AE">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B17269">
        <w:rPr>
          <w:rFonts w:ascii="Calibri" w:eastAsia="Aptos" w:hAnsi="Calibri" w:cs="Calibri"/>
          <w:kern w:val="0"/>
          <w14:ligatures w14:val="none"/>
        </w:rPr>
        <w:t>Changes to thresholds and technical requirements should be evidence-based, announced well in advance and phased in over a reasonable period. Requirements should not be applied retrospectively to decisions already made in good faith under an earlier version of the Taxonomy.</w:t>
      </w:r>
    </w:p>
    <w:p w14:paraId="73F54CFF" w14:textId="5E0DC506" w:rsidR="005039AE" w:rsidRPr="005039AE" w:rsidRDefault="003278ED" w:rsidP="005039AE">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9D2329">
        <w:rPr>
          <w:rFonts w:ascii="Calibri" w:eastAsia="Aptos" w:hAnsi="Calibri" w:cs="Calibri"/>
          <w:b/>
          <w:bCs/>
          <w:kern w:val="0"/>
          <w14:ligatures w14:val="none"/>
        </w:rPr>
        <w:t>Conclusion</w:t>
      </w:r>
    </w:p>
    <w:p w14:paraId="04E91FAD" w14:textId="63ED8A7B" w:rsidR="002C23D7" w:rsidRDefault="0001014F" w:rsidP="002C23D7">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Pr>
          <w:rFonts w:ascii="Calibri" w:eastAsia="Aptos" w:hAnsi="Calibri" w:cs="Calibri"/>
          <w:kern w:val="0"/>
          <w:highlight w:val="yellow"/>
          <w14:ligatures w14:val="none"/>
        </w:rPr>
        <w:t>[</w:t>
      </w:r>
      <w:r w:rsidR="005039AE" w:rsidRPr="005039AE">
        <w:rPr>
          <w:rFonts w:ascii="Calibri" w:eastAsia="Aptos" w:hAnsi="Calibri" w:cs="Calibri"/>
          <w:kern w:val="0"/>
          <w:highlight w:val="yellow"/>
          <w14:ligatures w14:val="none"/>
        </w:rPr>
        <w:t>Insert business/organisation name]</w:t>
      </w:r>
      <w:r w:rsidR="005039AE" w:rsidRPr="005039AE">
        <w:rPr>
          <w:rFonts w:ascii="Calibri" w:eastAsia="Aptos" w:hAnsi="Calibri" w:cs="Calibri"/>
          <w:kern w:val="0"/>
          <w14:ligatures w14:val="none"/>
        </w:rPr>
        <w:t xml:space="preserve"> thanks the Centre for Sustainable Finance for the opportunity to submit on the Aotearoa New Zealand Sustainable Finance Taxonomy (NZ Taxonomy): Construction and Buildings criteria. </w:t>
      </w:r>
    </w:p>
    <w:p w14:paraId="3F5062C9" w14:textId="5741875C" w:rsidR="002C23D7" w:rsidRDefault="002C23D7" w:rsidP="002C23D7">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2C23D7">
        <w:rPr>
          <w:rFonts w:ascii="Calibri" w:eastAsia="Aptos" w:hAnsi="Calibri" w:cs="Calibri"/>
          <w:kern w:val="0"/>
          <w14:ligatures w14:val="none"/>
        </w:rPr>
        <w:t xml:space="preserve">The Taxonomy has the potential to support credible sustainable and transition finance for New Zealand’s property and construction sector. To realise this potential, the final criteria </w:t>
      </w:r>
      <w:proofErr w:type="gramStart"/>
      <w:r w:rsidR="001F60BB" w:rsidRPr="002C23D7">
        <w:rPr>
          <w:rFonts w:ascii="Calibri" w:eastAsia="Aptos" w:hAnsi="Calibri" w:cs="Calibri"/>
          <w:kern w:val="0"/>
          <w14:ligatures w14:val="none"/>
        </w:rPr>
        <w:t>need</w:t>
      </w:r>
      <w:r w:rsidR="001F60BB">
        <w:rPr>
          <w:rFonts w:ascii="Calibri" w:eastAsia="Aptos" w:hAnsi="Calibri" w:cs="Calibri"/>
          <w:kern w:val="0"/>
          <w14:ligatures w14:val="none"/>
        </w:rPr>
        <w:t>s</w:t>
      </w:r>
      <w:proofErr w:type="gramEnd"/>
      <w:r w:rsidRPr="002C23D7">
        <w:rPr>
          <w:rFonts w:ascii="Calibri" w:eastAsia="Aptos" w:hAnsi="Calibri" w:cs="Calibri"/>
          <w:kern w:val="0"/>
          <w14:ligatures w14:val="none"/>
        </w:rPr>
        <w:t xml:space="preserve"> to balance environmental ambition with practical application.</w:t>
      </w:r>
    </w:p>
    <w:p w14:paraId="19F96BCC" w14:textId="2138E65F" w:rsidR="005039AE" w:rsidRPr="002C23D7" w:rsidRDefault="002C23D7" w:rsidP="002C23D7">
      <w:pPr>
        <w:pStyle w:val="ListParagraph"/>
        <w:numPr>
          <w:ilvl w:val="1"/>
          <w:numId w:val="1"/>
        </w:numPr>
        <w:spacing w:after="120" w:line="276" w:lineRule="auto"/>
        <w:ind w:left="567" w:hanging="567"/>
        <w:contextualSpacing w:val="0"/>
        <w:jc w:val="both"/>
        <w:rPr>
          <w:rFonts w:ascii="Calibri" w:eastAsia="Aptos" w:hAnsi="Calibri" w:cs="Calibri"/>
          <w:kern w:val="0"/>
          <w14:ligatures w14:val="none"/>
        </w:rPr>
      </w:pPr>
      <w:r w:rsidRPr="002C23D7">
        <w:rPr>
          <w:rFonts w:ascii="Calibri" w:eastAsia="Aptos" w:hAnsi="Calibri" w:cs="Calibri"/>
          <w:kern w:val="0"/>
          <w14:ligatures w14:val="none"/>
        </w:rPr>
        <w:t>We recommend that the draft criteria be refined to be clearer, more outcome-focused, proportionate and responsive to New Zealand market conditions. Recognising established practices, allowing achievable transition pathways and providing certainty will help encourage uptake while maintaining the credibility of the Taxonomy.</w:t>
      </w:r>
    </w:p>
    <w:p w14:paraId="6591B47B" w14:textId="77777777" w:rsidR="003278ED" w:rsidRPr="002C23D7" w:rsidRDefault="003278ED" w:rsidP="002C23D7">
      <w:pPr>
        <w:spacing w:after="120" w:line="276" w:lineRule="auto"/>
        <w:jc w:val="both"/>
        <w:rPr>
          <w:rFonts w:ascii="Calibri" w:eastAsia="Aptos" w:hAnsi="Calibri" w:cs="Calibri"/>
          <w:kern w:val="0"/>
          <w14:ligatures w14:val="none"/>
        </w:rPr>
      </w:pPr>
    </w:p>
    <w:p w14:paraId="39BD083A" w14:textId="77777777" w:rsidR="003278ED" w:rsidRPr="00AA6268" w:rsidRDefault="003278ED" w:rsidP="003278ED">
      <w:pPr>
        <w:spacing w:line="276" w:lineRule="auto"/>
        <w:rPr>
          <w:rFonts w:ascii="Calibri" w:hAnsi="Calibri" w:cs="Calibri"/>
        </w:rPr>
      </w:pPr>
      <w:r w:rsidRPr="00AA6268">
        <w:rPr>
          <w:rFonts w:ascii="Calibri" w:hAnsi="Calibri" w:cs="Calibri"/>
        </w:rPr>
        <w:t>Yours sincerely,</w:t>
      </w:r>
    </w:p>
    <w:p w14:paraId="23F17E00" w14:textId="77777777" w:rsidR="003278ED" w:rsidRPr="00AA6268" w:rsidRDefault="003278ED" w:rsidP="003278ED">
      <w:pPr>
        <w:pStyle w:val="NoSpacing"/>
        <w:spacing w:line="276" w:lineRule="auto"/>
        <w:rPr>
          <w:rFonts w:ascii="Calibri" w:hAnsi="Calibri" w:cs="Calibri"/>
        </w:rPr>
      </w:pPr>
    </w:p>
    <w:p w14:paraId="027B932E" w14:textId="77777777" w:rsidR="003278ED" w:rsidRPr="00AA6268" w:rsidRDefault="003278ED" w:rsidP="003278ED">
      <w:pPr>
        <w:pStyle w:val="NoSpacing"/>
        <w:spacing w:line="276" w:lineRule="auto"/>
        <w:rPr>
          <w:rFonts w:ascii="Calibri" w:hAnsi="Calibri" w:cs="Calibri"/>
          <w:highlight w:val="yellow"/>
        </w:rPr>
      </w:pPr>
      <w:r w:rsidRPr="00AA6268">
        <w:rPr>
          <w:rFonts w:ascii="Calibri" w:hAnsi="Calibri" w:cs="Calibri"/>
          <w:highlight w:val="yellow"/>
        </w:rPr>
        <w:t>[Name]</w:t>
      </w:r>
    </w:p>
    <w:p w14:paraId="59CA02A2" w14:textId="097FF0CF" w:rsidR="003278ED" w:rsidRPr="00AA6268" w:rsidRDefault="003278ED" w:rsidP="003278ED">
      <w:pPr>
        <w:pStyle w:val="NoSpacing"/>
        <w:spacing w:line="276" w:lineRule="auto"/>
        <w:rPr>
          <w:rFonts w:ascii="Calibri" w:hAnsi="Calibri" w:cs="Calibri"/>
        </w:rPr>
      </w:pPr>
      <w:r w:rsidRPr="00AA6268">
        <w:rPr>
          <w:rFonts w:ascii="Calibri" w:hAnsi="Calibri" w:cs="Calibri"/>
          <w:highlight w:val="yellow"/>
        </w:rPr>
        <w:t>[Role</w:t>
      </w:r>
      <w:r w:rsidR="0001014F">
        <w:rPr>
          <w:rFonts w:ascii="Calibri" w:hAnsi="Calibri" w:cs="Calibri"/>
          <w:highlight w:val="yellow"/>
        </w:rPr>
        <w:t xml:space="preserve">, </w:t>
      </w:r>
      <w:r w:rsidR="0001014F" w:rsidRPr="005039AE">
        <w:rPr>
          <w:rFonts w:ascii="Calibri" w:eastAsia="Aptos" w:hAnsi="Calibri" w:cs="Calibri"/>
          <w:kern w:val="0"/>
          <w:highlight w:val="yellow"/>
          <w14:ligatures w14:val="none"/>
        </w:rPr>
        <w:t>Insert business/organisation name</w:t>
      </w:r>
      <w:r w:rsidRPr="00AA6268">
        <w:rPr>
          <w:rFonts w:ascii="Calibri" w:hAnsi="Calibri" w:cs="Calibri"/>
          <w:highlight w:val="yellow"/>
        </w:rPr>
        <w:t>]</w:t>
      </w:r>
    </w:p>
    <w:p w14:paraId="5036BB73" w14:textId="77777777" w:rsidR="007C0FBF" w:rsidRDefault="007C0FBF"/>
    <w:sectPr w:rsidR="007C0FBF" w:rsidSect="00B63192">
      <w:pgSz w:w="11906" w:h="16838"/>
      <w:pgMar w:top="1134"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1626E"/>
    <w:multiLevelType w:val="multilevel"/>
    <w:tmpl w:val="782A4EEA"/>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EA2572"/>
    <w:multiLevelType w:val="hybridMultilevel"/>
    <w:tmpl w:val="A58A0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4047124"/>
    <w:multiLevelType w:val="multilevel"/>
    <w:tmpl w:val="96F6E20C"/>
    <w:lvl w:ilvl="0">
      <w:start w:val="1"/>
      <w:numFmt w:val="decimal"/>
      <w:lvlText w:val="%1."/>
      <w:lvlJc w:val="left"/>
      <w:pPr>
        <w:ind w:left="927" w:hanging="360"/>
      </w:pPr>
      <w:rPr>
        <w:b/>
        <w:bCs/>
      </w:rPr>
    </w:lvl>
    <w:lvl w:ilvl="1">
      <w:start w:val="1"/>
      <w:numFmt w:val="decimal"/>
      <w:lvlText w:val="%1.%2."/>
      <w:lvlJc w:val="left"/>
      <w:pPr>
        <w:ind w:left="999" w:hanging="432"/>
      </w:pPr>
      <w:rPr>
        <w:b w:val="0"/>
        <w:bCs w:val="0"/>
        <w:i w:val="0"/>
        <w:iCs w:val="0"/>
      </w:r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 w15:restartNumberingAfterBreak="0">
    <w:nsid w:val="333E0E7B"/>
    <w:multiLevelType w:val="multilevel"/>
    <w:tmpl w:val="2E3614E0"/>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F203493"/>
    <w:multiLevelType w:val="hybridMultilevel"/>
    <w:tmpl w:val="B8B2F67A"/>
    <w:lvl w:ilvl="0" w:tplc="14090001">
      <w:start w:val="1"/>
      <w:numFmt w:val="bullet"/>
      <w:lvlText w:val=""/>
      <w:lvlJc w:val="left"/>
      <w:pPr>
        <w:ind w:left="720" w:hanging="360"/>
      </w:pPr>
      <w:rPr>
        <w:rFonts w:ascii="Symbol" w:hAnsi="Symbol" w:hint="default"/>
      </w:rPr>
    </w:lvl>
    <w:lvl w:ilvl="1" w:tplc="559469B4">
      <w:start w:val="6"/>
      <w:numFmt w:val="bullet"/>
      <w:lvlText w:val="•"/>
      <w:lvlJc w:val="left"/>
      <w:pPr>
        <w:ind w:left="1440" w:hanging="360"/>
      </w:pPr>
      <w:rPr>
        <w:rFonts w:ascii="Aptos" w:eastAsia="Aptos" w:hAnsi="Aptos" w:cstheme="minorHAns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99850784">
    <w:abstractNumId w:val="0"/>
  </w:num>
  <w:num w:numId="2" w16cid:durableId="1247575385">
    <w:abstractNumId w:val="3"/>
  </w:num>
  <w:num w:numId="3" w16cid:durableId="1493906831">
    <w:abstractNumId w:val="4"/>
  </w:num>
  <w:num w:numId="4" w16cid:durableId="1725644049">
    <w:abstractNumId w:val="2"/>
  </w:num>
  <w:num w:numId="5" w16cid:durableId="183051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ED"/>
    <w:rsid w:val="0001014F"/>
    <w:rsid w:val="0002335A"/>
    <w:rsid w:val="00034573"/>
    <w:rsid w:val="0003646C"/>
    <w:rsid w:val="00055848"/>
    <w:rsid w:val="000810B8"/>
    <w:rsid w:val="000868BC"/>
    <w:rsid w:val="000B300D"/>
    <w:rsid w:val="001216CE"/>
    <w:rsid w:val="00185DAE"/>
    <w:rsid w:val="001B581D"/>
    <w:rsid w:val="001C1DBC"/>
    <w:rsid w:val="001C4297"/>
    <w:rsid w:val="001D23A8"/>
    <w:rsid w:val="001E76F8"/>
    <w:rsid w:val="001F60BB"/>
    <w:rsid w:val="00211646"/>
    <w:rsid w:val="00232CDD"/>
    <w:rsid w:val="00243DD5"/>
    <w:rsid w:val="00250188"/>
    <w:rsid w:val="00283FAC"/>
    <w:rsid w:val="002B3E31"/>
    <w:rsid w:val="002C23D7"/>
    <w:rsid w:val="002C5EF2"/>
    <w:rsid w:val="002D7456"/>
    <w:rsid w:val="0031241F"/>
    <w:rsid w:val="00321D3A"/>
    <w:rsid w:val="003278ED"/>
    <w:rsid w:val="00337BCA"/>
    <w:rsid w:val="00337E0E"/>
    <w:rsid w:val="003474D7"/>
    <w:rsid w:val="003557B2"/>
    <w:rsid w:val="00361F3C"/>
    <w:rsid w:val="00365A7E"/>
    <w:rsid w:val="003E5BEE"/>
    <w:rsid w:val="00413502"/>
    <w:rsid w:val="004625C9"/>
    <w:rsid w:val="00490491"/>
    <w:rsid w:val="00495D31"/>
    <w:rsid w:val="00496EC7"/>
    <w:rsid w:val="004B4330"/>
    <w:rsid w:val="004F3CED"/>
    <w:rsid w:val="005039AE"/>
    <w:rsid w:val="00535C51"/>
    <w:rsid w:val="0054206C"/>
    <w:rsid w:val="00551924"/>
    <w:rsid w:val="00563581"/>
    <w:rsid w:val="005D7CC9"/>
    <w:rsid w:val="005E7B27"/>
    <w:rsid w:val="005F664F"/>
    <w:rsid w:val="00600646"/>
    <w:rsid w:val="006049C8"/>
    <w:rsid w:val="00660799"/>
    <w:rsid w:val="006672C6"/>
    <w:rsid w:val="00675928"/>
    <w:rsid w:val="0068302F"/>
    <w:rsid w:val="006903A8"/>
    <w:rsid w:val="006A7FF0"/>
    <w:rsid w:val="006D2C2C"/>
    <w:rsid w:val="006E4B3E"/>
    <w:rsid w:val="007305E9"/>
    <w:rsid w:val="00751699"/>
    <w:rsid w:val="00766564"/>
    <w:rsid w:val="0077209B"/>
    <w:rsid w:val="00777E03"/>
    <w:rsid w:val="00785AD4"/>
    <w:rsid w:val="00791CF1"/>
    <w:rsid w:val="00794BA8"/>
    <w:rsid w:val="007A1919"/>
    <w:rsid w:val="007A45D4"/>
    <w:rsid w:val="007B4A70"/>
    <w:rsid w:val="007C0FBF"/>
    <w:rsid w:val="007C619F"/>
    <w:rsid w:val="007D07E2"/>
    <w:rsid w:val="007D415B"/>
    <w:rsid w:val="007D4B65"/>
    <w:rsid w:val="007F2F45"/>
    <w:rsid w:val="007F60EC"/>
    <w:rsid w:val="00810590"/>
    <w:rsid w:val="00816C95"/>
    <w:rsid w:val="008543BC"/>
    <w:rsid w:val="00861F07"/>
    <w:rsid w:val="00865C5A"/>
    <w:rsid w:val="00874461"/>
    <w:rsid w:val="0089269F"/>
    <w:rsid w:val="008B201F"/>
    <w:rsid w:val="008C7DDD"/>
    <w:rsid w:val="008E1A47"/>
    <w:rsid w:val="008E3415"/>
    <w:rsid w:val="008F35F3"/>
    <w:rsid w:val="00935CF8"/>
    <w:rsid w:val="00992502"/>
    <w:rsid w:val="009B3445"/>
    <w:rsid w:val="009B7D22"/>
    <w:rsid w:val="009D2329"/>
    <w:rsid w:val="00A05AE0"/>
    <w:rsid w:val="00A1552A"/>
    <w:rsid w:val="00A30CBF"/>
    <w:rsid w:val="00A44DE8"/>
    <w:rsid w:val="00A463D1"/>
    <w:rsid w:val="00A472EF"/>
    <w:rsid w:val="00A51552"/>
    <w:rsid w:val="00A85528"/>
    <w:rsid w:val="00AB2738"/>
    <w:rsid w:val="00AF7995"/>
    <w:rsid w:val="00B17269"/>
    <w:rsid w:val="00B20EAA"/>
    <w:rsid w:val="00B61366"/>
    <w:rsid w:val="00B63192"/>
    <w:rsid w:val="00B642F2"/>
    <w:rsid w:val="00BC63FF"/>
    <w:rsid w:val="00BC76FF"/>
    <w:rsid w:val="00C11EEC"/>
    <w:rsid w:val="00C73F4B"/>
    <w:rsid w:val="00C75572"/>
    <w:rsid w:val="00C815FA"/>
    <w:rsid w:val="00C92F8C"/>
    <w:rsid w:val="00C9366A"/>
    <w:rsid w:val="00CD49F5"/>
    <w:rsid w:val="00CF4B33"/>
    <w:rsid w:val="00D22E97"/>
    <w:rsid w:val="00D437FE"/>
    <w:rsid w:val="00D85D0F"/>
    <w:rsid w:val="00D97843"/>
    <w:rsid w:val="00E153C9"/>
    <w:rsid w:val="00E63312"/>
    <w:rsid w:val="00E76448"/>
    <w:rsid w:val="00EA37E1"/>
    <w:rsid w:val="00EB7CB2"/>
    <w:rsid w:val="00ED77B9"/>
    <w:rsid w:val="00EF3EB9"/>
    <w:rsid w:val="00F17DCF"/>
    <w:rsid w:val="00F220CB"/>
    <w:rsid w:val="00F55730"/>
    <w:rsid w:val="00F7587C"/>
    <w:rsid w:val="00F778BE"/>
    <w:rsid w:val="00FA34CB"/>
    <w:rsid w:val="00FE7DC9"/>
    <w:rsid w:val="18F429A3"/>
    <w:rsid w:val="2F8C2C26"/>
    <w:rsid w:val="39650AF9"/>
    <w:rsid w:val="57D62739"/>
    <w:rsid w:val="6A707D0B"/>
    <w:rsid w:val="6FCDD02E"/>
    <w:rsid w:val="74A027C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E646"/>
  <w15:chartTrackingRefBased/>
  <w15:docId w15:val="{3E110865-0B86-4A5C-908A-5E2E5D91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8ED"/>
  </w:style>
  <w:style w:type="paragraph" w:styleId="Heading1">
    <w:name w:val="heading 1"/>
    <w:basedOn w:val="Normal"/>
    <w:next w:val="Normal"/>
    <w:link w:val="Heading1Char"/>
    <w:uiPriority w:val="9"/>
    <w:qFormat/>
    <w:rsid w:val="00327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7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8ED"/>
    <w:rPr>
      <w:rFonts w:eastAsiaTheme="majorEastAsia" w:cstheme="majorBidi"/>
      <w:color w:val="272727" w:themeColor="text1" w:themeTint="D8"/>
    </w:rPr>
  </w:style>
  <w:style w:type="paragraph" w:styleId="Title">
    <w:name w:val="Title"/>
    <w:basedOn w:val="Normal"/>
    <w:next w:val="Normal"/>
    <w:link w:val="TitleChar"/>
    <w:uiPriority w:val="10"/>
    <w:qFormat/>
    <w:rsid w:val="00327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8ED"/>
    <w:pPr>
      <w:spacing w:before="160"/>
      <w:jc w:val="center"/>
    </w:pPr>
    <w:rPr>
      <w:i/>
      <w:iCs/>
      <w:color w:val="404040" w:themeColor="text1" w:themeTint="BF"/>
    </w:rPr>
  </w:style>
  <w:style w:type="character" w:customStyle="1" w:styleId="QuoteChar">
    <w:name w:val="Quote Char"/>
    <w:basedOn w:val="DefaultParagraphFont"/>
    <w:link w:val="Quote"/>
    <w:uiPriority w:val="29"/>
    <w:rsid w:val="003278ED"/>
    <w:rPr>
      <w:i/>
      <w:iCs/>
      <w:color w:val="404040" w:themeColor="text1" w:themeTint="BF"/>
    </w:rPr>
  </w:style>
  <w:style w:type="paragraph" w:styleId="ListParagraph">
    <w:name w:val="List Paragraph"/>
    <w:basedOn w:val="Normal"/>
    <w:link w:val="ListParagraphChar"/>
    <w:uiPriority w:val="34"/>
    <w:qFormat/>
    <w:rsid w:val="003278ED"/>
    <w:pPr>
      <w:ind w:left="720"/>
      <w:contextualSpacing/>
    </w:pPr>
  </w:style>
  <w:style w:type="character" w:styleId="IntenseEmphasis">
    <w:name w:val="Intense Emphasis"/>
    <w:basedOn w:val="DefaultParagraphFont"/>
    <w:uiPriority w:val="21"/>
    <w:qFormat/>
    <w:rsid w:val="003278ED"/>
    <w:rPr>
      <w:i/>
      <w:iCs/>
      <w:color w:val="0F4761" w:themeColor="accent1" w:themeShade="BF"/>
    </w:rPr>
  </w:style>
  <w:style w:type="paragraph" w:styleId="IntenseQuote">
    <w:name w:val="Intense Quote"/>
    <w:basedOn w:val="Normal"/>
    <w:next w:val="Normal"/>
    <w:link w:val="IntenseQuoteChar"/>
    <w:uiPriority w:val="30"/>
    <w:qFormat/>
    <w:rsid w:val="00327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8ED"/>
    <w:rPr>
      <w:i/>
      <w:iCs/>
      <w:color w:val="0F4761" w:themeColor="accent1" w:themeShade="BF"/>
    </w:rPr>
  </w:style>
  <w:style w:type="character" w:styleId="IntenseReference">
    <w:name w:val="Intense Reference"/>
    <w:basedOn w:val="DefaultParagraphFont"/>
    <w:uiPriority w:val="32"/>
    <w:qFormat/>
    <w:rsid w:val="003278ED"/>
    <w:rPr>
      <w:b/>
      <w:bCs/>
      <w:smallCaps/>
      <w:color w:val="0F4761" w:themeColor="accent1" w:themeShade="BF"/>
      <w:spacing w:val="5"/>
    </w:rPr>
  </w:style>
  <w:style w:type="character" w:customStyle="1" w:styleId="ListParagraphChar">
    <w:name w:val="List Paragraph Char"/>
    <w:link w:val="ListParagraph"/>
    <w:uiPriority w:val="34"/>
    <w:locked/>
    <w:rsid w:val="003278ED"/>
  </w:style>
  <w:style w:type="paragraph" w:styleId="NoSpacing">
    <w:name w:val="No Spacing"/>
    <w:uiPriority w:val="1"/>
    <w:qFormat/>
    <w:rsid w:val="003278ED"/>
    <w:pPr>
      <w:spacing w:after="0" w:line="240" w:lineRule="auto"/>
    </w:pPr>
  </w:style>
  <w:style w:type="character" w:styleId="Hyperlink">
    <w:name w:val="Hyperlink"/>
    <w:basedOn w:val="DefaultParagraphFont"/>
    <w:uiPriority w:val="99"/>
    <w:unhideWhenUsed/>
    <w:rsid w:val="00766564"/>
    <w:rPr>
      <w:color w:val="467886" w:themeColor="hyperlink"/>
      <w:u w:val="single"/>
    </w:rPr>
  </w:style>
  <w:style w:type="paragraph" w:styleId="Revision">
    <w:name w:val="Revision"/>
    <w:hidden/>
    <w:uiPriority w:val="99"/>
    <w:semiHidden/>
    <w:rsid w:val="00A1552A"/>
    <w:pPr>
      <w:spacing w:after="0" w:line="240" w:lineRule="auto"/>
    </w:pPr>
  </w:style>
  <w:style w:type="paragraph" w:styleId="NormalWeb">
    <w:name w:val="Normal (Web)"/>
    <w:basedOn w:val="Normal"/>
    <w:uiPriority w:val="99"/>
    <w:semiHidden/>
    <w:unhideWhenUsed/>
    <w:rsid w:val="00F7587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xonomy@sustainablefinance.n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86BE8E982CB042B8D9A86B5C079BC2" ma:contentTypeVersion="21" ma:contentTypeDescription="Create a new document." ma:contentTypeScope="" ma:versionID="8696b783285bd793b416107374cd7c76">
  <xsd:schema xmlns:xsd="http://www.w3.org/2001/XMLSchema" xmlns:xs="http://www.w3.org/2001/XMLSchema" xmlns:p="http://schemas.microsoft.com/office/2006/metadata/properties" xmlns:ns2="b410b651-395b-4e98-a2d5-9b909527e378" xmlns:ns3="aea31c16-ca4c-438b-be09-3ef1c850c433" targetNamespace="http://schemas.microsoft.com/office/2006/metadata/properties" ma:root="true" ma:fieldsID="561d062a42ba6b039b7a561a69af08ac" ns2:_="" ns3:_="">
    <xsd:import namespace="b410b651-395b-4e98-a2d5-9b909527e378"/>
    <xsd:import namespace="aea31c16-ca4c-438b-be09-3ef1c850c43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b651-395b-4e98-a2d5-9b909527e3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3f816877-cad4-4306-ba32-88e8011a7cbc}" ma:internalName="TaxCatchAll" ma:showField="CatchAllData" ma:web="b410b651-395b-4e98-a2d5-9b909527e3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31c16-ca4c-438b-be09-3ef1c850c43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ec2868a-1673-406e-a29b-7af8f0e2487b"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31c16-ca4c-438b-be09-3ef1c850c433">
      <Terms xmlns="http://schemas.microsoft.com/office/infopath/2007/PartnerControls"/>
    </lcf76f155ced4ddcb4097134ff3c332f>
    <TaxCatchAll xmlns="b410b651-395b-4e98-a2d5-9b909527e378" xsi:nil="true"/>
  </documentManagement>
</p:properties>
</file>

<file path=customXml/itemProps1.xml><?xml version="1.0" encoding="utf-8"?>
<ds:datastoreItem xmlns:ds="http://schemas.openxmlformats.org/officeDocument/2006/customXml" ds:itemID="{700FC216-A2A2-4066-A8AD-D4951CC6A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0b651-395b-4e98-a2d5-9b909527e378"/>
    <ds:schemaRef ds:uri="aea31c16-ca4c-438b-be09-3ef1c850c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6B7F4-F7C7-4CD6-81DF-B6B222DCB17D}">
  <ds:schemaRefs>
    <ds:schemaRef ds:uri="http://schemas.microsoft.com/sharepoint/v3/contenttype/forms"/>
  </ds:schemaRefs>
</ds:datastoreItem>
</file>

<file path=customXml/itemProps3.xml><?xml version="1.0" encoding="utf-8"?>
<ds:datastoreItem xmlns:ds="http://schemas.openxmlformats.org/officeDocument/2006/customXml" ds:itemID="{19ED0FD9-AE3C-4123-A493-A04A289C3C91}">
  <ds:schemaRefs>
    <ds:schemaRef ds:uri="http://schemas.microsoft.com/office/2006/metadata/properties"/>
    <ds:schemaRef ds:uri="http://schemas.microsoft.com/office/infopath/2007/PartnerControls"/>
    <ds:schemaRef ds:uri="aea31c16-ca4c-438b-be09-3ef1c850c433"/>
    <ds:schemaRef ds:uri="b410b651-395b-4e98-a2d5-9b909527e3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8105</Characters>
  <Application>Microsoft Office Word</Application>
  <DocSecurity>0</DocSecurity>
  <Lines>135</Lines>
  <Paragraphs>57</Paragraphs>
  <ScaleCrop>false</ScaleCrop>
  <Company/>
  <LinksUpToDate>false</LinksUpToDate>
  <CharactersWithSpaces>9276</CharactersWithSpaces>
  <SharedDoc>false</SharedDoc>
  <HLinks>
    <vt:vector size="6" baseType="variant">
      <vt:variant>
        <vt:i4>2424863</vt:i4>
      </vt:variant>
      <vt:variant>
        <vt:i4>0</vt:i4>
      </vt:variant>
      <vt:variant>
        <vt:i4>0</vt:i4>
      </vt:variant>
      <vt:variant>
        <vt:i4>5</vt:i4>
      </vt:variant>
      <vt:variant>
        <vt:lpwstr>mailto:taxonomy@sustainablefinance.nz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Sandamali Ambepitiya</dc:creator>
  <cp:keywords/>
  <dc:description/>
  <cp:lastModifiedBy>Naomi Wilson</cp:lastModifiedBy>
  <cp:revision>2</cp:revision>
  <cp:lastPrinted>2026-10-20T19:17:00Z</cp:lastPrinted>
  <dcterms:created xsi:type="dcterms:W3CDTF">2026-10-26T22:30:00Z</dcterms:created>
  <dcterms:modified xsi:type="dcterms:W3CDTF">2026-10-26T22:30:00Z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0x0101003086BE8E982CB042B8D9A86B5C079BC2</vt:lpwstr>
  </property>
  <property fmtid="{D5CDD505-2E9C-101B-9397-08002B2CF9AE}" pid="3" name="MediaServiceImageTags">
    <vt:lpwstr/>
  </property>
</Properties>
</file>